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18" w:rsidRDefault="00017C18" w:rsidP="00017C18">
      <w:pPr>
        <w:spacing w:line="340" w:lineRule="atLeast"/>
        <w:rPr>
          <w:rFonts w:ascii="Tahoma" w:hAnsi="Tahoma" w:cs="Tahoma"/>
          <w:b/>
          <w:bCs/>
          <w:color w:val="616161"/>
          <w:sz w:val="18"/>
          <w:szCs w:val="18"/>
        </w:rPr>
      </w:pPr>
      <w:r>
        <w:rPr>
          <w:rFonts w:ascii="Tahoma" w:hAnsi="Tahoma" w:cs="Tahoma"/>
          <w:b/>
          <w:bCs/>
          <w:color w:val="616161"/>
          <w:sz w:val="18"/>
          <w:szCs w:val="18"/>
        </w:rPr>
        <w:t>Wskaźniki dot. inwestycji i robót drogowych – oświetlenie ulic , ciągów pieszych, pieszo-jezdnych, parkingów, terenów zielonych – sporządzono na podstawie danych dotyczących inwestycji branży elektroenergetycznej – oświetleniowej prowadzonych przez Wydział Inwestycji.</w:t>
      </w:r>
    </w:p>
    <w:p w:rsidR="00017C18" w:rsidRDefault="00017C18" w:rsidP="00017C18">
      <w:pPr>
        <w:shd w:val="clear" w:color="auto" w:fill="F9F9F9"/>
        <w:spacing w:line="195" w:lineRule="atLeast"/>
        <w:rPr>
          <w:rFonts w:ascii="Tahoma" w:hAnsi="Tahoma" w:cs="Tahoma"/>
          <w:color w:val="616161"/>
          <w:sz w:val="17"/>
          <w:szCs w:val="17"/>
        </w:rPr>
      </w:pPr>
    </w:p>
    <w:tbl>
      <w:tblPr>
        <w:tblW w:w="90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50"/>
        <w:gridCol w:w="3323"/>
        <w:gridCol w:w="1799"/>
        <w:gridCol w:w="1799"/>
        <w:gridCol w:w="1691"/>
      </w:tblGrid>
      <w:tr w:rsidR="00017C18" w:rsidTr="00017C18">
        <w:trPr>
          <w:tblCellSpacing w:w="0" w:type="dxa"/>
        </w:trPr>
        <w:tc>
          <w:tcPr>
            <w:tcW w:w="90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  <w:t>Linia oświetlenia zewnętrznego</w:t>
            </w:r>
          </w:p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  <w:t>tereny zielone, ulice, parkingi manewrowe.</w:t>
            </w:r>
          </w:p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</w:pPr>
          </w:p>
        </w:tc>
      </w:tr>
      <w:tr w:rsidR="00017C18" w:rsidTr="00017C18">
        <w:trPr>
          <w:tblCellSpacing w:w="0" w:type="dxa"/>
        </w:trPr>
        <w:tc>
          <w:tcPr>
            <w:tcW w:w="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  <w:t>Lp.</w:t>
            </w:r>
          </w:p>
        </w:tc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C18" w:rsidRDefault="00017C18">
            <w:pPr>
              <w:spacing w:line="340" w:lineRule="atLeast"/>
              <w:rPr>
                <w:rFonts w:ascii="Tahoma" w:hAnsi="Tahoma" w:cs="Tahoma"/>
                <w:color w:val="616161"/>
                <w:sz w:val="18"/>
                <w:szCs w:val="18"/>
              </w:rPr>
            </w:pPr>
          </w:p>
        </w:tc>
        <w:tc>
          <w:tcPr>
            <w:tcW w:w="3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  <w:t>Wyszczególnienie elementów rozliczeniowych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  <w:t>Jednostka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  <w:t>Cena jednostkowa</w:t>
            </w:r>
          </w:p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  <w:t>zł. netto</w:t>
            </w:r>
          </w:p>
        </w:tc>
        <w:tc>
          <w:tcPr>
            <w:tcW w:w="1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  <w:t>Wartość</w:t>
            </w:r>
          </w:p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  <w:t>zł. netto</w:t>
            </w:r>
          </w:p>
        </w:tc>
      </w:tr>
      <w:tr w:rsidR="00017C18" w:rsidTr="00017C18">
        <w:trPr>
          <w:tblCellSpacing w:w="0" w:type="dxa"/>
        </w:trPr>
        <w:tc>
          <w:tcPr>
            <w:tcW w:w="90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rPr>
                <w:rFonts w:ascii="Tahoma" w:hAnsi="Tahoma" w:cs="Tahoma"/>
                <w:color w:val="616161"/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rPr>
                <w:rFonts w:ascii="Tahoma" w:hAnsi="Tahoma" w:cs="Tahoma"/>
                <w:color w:val="616161"/>
                <w:sz w:val="18"/>
                <w:szCs w:val="18"/>
              </w:rPr>
            </w:pPr>
          </w:p>
        </w:tc>
        <w:tc>
          <w:tcPr>
            <w:tcW w:w="3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  <w:t>Ilość</w:t>
            </w:r>
          </w:p>
        </w:tc>
        <w:tc>
          <w:tcPr>
            <w:tcW w:w="1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rPr>
                <w:rFonts w:ascii="Tahoma" w:hAnsi="Tahoma" w:cs="Tahoma"/>
                <w:color w:val="616161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rPr>
                <w:rFonts w:ascii="Tahoma" w:hAnsi="Tahoma" w:cs="Tahoma"/>
                <w:color w:val="616161"/>
                <w:sz w:val="18"/>
                <w:szCs w:val="18"/>
              </w:rPr>
            </w:pPr>
          </w:p>
        </w:tc>
      </w:tr>
      <w:tr w:rsidR="00017C18" w:rsidTr="00017C18">
        <w:trPr>
          <w:tblCellSpacing w:w="0" w:type="dxa"/>
        </w:trPr>
        <w:tc>
          <w:tcPr>
            <w:tcW w:w="90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>Ceny materiałów, robót i usług towarzyszących</w:t>
            </w:r>
          </w:p>
        </w:tc>
      </w:tr>
      <w:tr w:rsidR="00017C18" w:rsidTr="00017C18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  <w:t>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C18" w:rsidRDefault="00017C18">
            <w:pPr>
              <w:spacing w:line="340" w:lineRule="atLeast"/>
              <w:rPr>
                <w:rFonts w:ascii="Tahoma" w:hAnsi="Tahoma" w:cs="Tahoma"/>
                <w:color w:val="616161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>Oświetlenie zewnętrzne- słup oświetleniowy oraz element oświetlenia- lampa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>1szt.</w:t>
            </w:r>
          </w:p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 xml:space="preserve">3 000–9 000 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>3 000–9 000</w:t>
            </w:r>
          </w:p>
        </w:tc>
      </w:tr>
      <w:tr w:rsidR="00017C18" w:rsidTr="00017C18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  <w:t>2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C18" w:rsidRDefault="00017C18">
            <w:pPr>
              <w:spacing w:line="340" w:lineRule="atLeast"/>
              <w:rPr>
                <w:rFonts w:ascii="Tahoma" w:hAnsi="Tahoma" w:cs="Tahoma"/>
                <w:color w:val="616161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>Kanalizacja kablowa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>1m bieżący sieci</w:t>
            </w:r>
          </w:p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 xml:space="preserve">10-40  </w:t>
            </w:r>
          </w:p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 xml:space="preserve">10-40  </w:t>
            </w:r>
          </w:p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</w:p>
        </w:tc>
      </w:tr>
      <w:tr w:rsidR="00017C18" w:rsidTr="00017C18">
        <w:trPr>
          <w:trHeight w:val="766"/>
          <w:tblCellSpacing w:w="0" w:type="dxa"/>
        </w:trPr>
        <w:tc>
          <w:tcPr>
            <w:tcW w:w="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  <w:t>3</w:t>
            </w:r>
          </w:p>
        </w:tc>
        <w:tc>
          <w:tcPr>
            <w:tcW w:w="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C18" w:rsidRDefault="00017C18">
            <w:pPr>
              <w:spacing w:line="340" w:lineRule="atLeast"/>
              <w:rPr>
                <w:rFonts w:ascii="Tahoma" w:hAnsi="Tahoma" w:cs="Tahoma"/>
                <w:color w:val="616161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C18" w:rsidRDefault="00017C18">
            <w:pPr>
              <w:spacing w:line="340" w:lineRule="atLeast"/>
              <w:ind w:left="49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>Roboty ziemne w tym  wykopy              i zasypka</w:t>
            </w:r>
          </w:p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>1m bieżący sieci</w:t>
            </w:r>
          </w:p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>50-80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>50-80</w:t>
            </w:r>
          </w:p>
        </w:tc>
      </w:tr>
      <w:tr w:rsidR="00017C18" w:rsidTr="00017C18">
        <w:trPr>
          <w:trHeight w:val="1155"/>
          <w:tblCellSpacing w:w="0" w:type="dxa"/>
        </w:trPr>
        <w:tc>
          <w:tcPr>
            <w:tcW w:w="90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rPr>
                <w:rFonts w:ascii="Tahoma" w:hAnsi="Tahoma" w:cs="Tahoma"/>
                <w:color w:val="616161"/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rPr>
                <w:rFonts w:ascii="Tahoma" w:hAnsi="Tahoma" w:cs="Tahoma"/>
                <w:color w:val="616161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ind w:left="49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>Roboty kablowe -  układanie kabla energetycznego, montaż osprzętu kablowego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>1m bieżący  sieci</w:t>
            </w:r>
          </w:p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 xml:space="preserve">25-45 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>25-45</w:t>
            </w:r>
          </w:p>
        </w:tc>
      </w:tr>
      <w:tr w:rsidR="00017C18" w:rsidTr="00017C18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  <w:t>4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C18" w:rsidRDefault="00017C18">
            <w:pPr>
              <w:spacing w:line="340" w:lineRule="atLeast"/>
              <w:rPr>
                <w:rFonts w:ascii="Tahoma" w:hAnsi="Tahoma" w:cs="Tahoma"/>
                <w:color w:val="616161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>Uziemienia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 xml:space="preserve"> 1 szt. </w:t>
            </w:r>
          </w:p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>32-66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>32-66</w:t>
            </w:r>
          </w:p>
        </w:tc>
      </w:tr>
      <w:tr w:rsidR="00017C18" w:rsidTr="00017C18">
        <w:trPr>
          <w:trHeight w:val="498"/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  <w:t>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C18" w:rsidRDefault="00017C18">
            <w:pPr>
              <w:spacing w:line="340" w:lineRule="atLeast"/>
              <w:rPr>
                <w:rFonts w:ascii="Tahoma" w:hAnsi="Tahoma" w:cs="Tahoma"/>
                <w:color w:val="616161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>Badania i pomiary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>1m bieżący  sieci</w:t>
            </w:r>
          </w:p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>1,7-2,3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color w:val="616161"/>
                <w:sz w:val="18"/>
                <w:szCs w:val="18"/>
              </w:rPr>
              <w:t>1,7-2,3</w:t>
            </w:r>
          </w:p>
        </w:tc>
      </w:tr>
      <w:tr w:rsidR="00017C18" w:rsidTr="00017C18">
        <w:trPr>
          <w:tblCellSpacing w:w="0" w:type="dxa"/>
        </w:trPr>
        <w:tc>
          <w:tcPr>
            <w:tcW w:w="73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rPr>
                <w:rFonts w:ascii="Tahoma" w:hAnsi="Tahoma" w:cs="Tahoma"/>
                <w:b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616161"/>
                <w:sz w:val="18"/>
                <w:szCs w:val="18"/>
              </w:rPr>
              <w:t>Do kwot każdorazowo należy doliczyć podatek VAT w wysokości 23%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</w:pPr>
          </w:p>
        </w:tc>
      </w:tr>
      <w:tr w:rsidR="00017C18" w:rsidTr="00017C18">
        <w:trPr>
          <w:tblCellSpacing w:w="0" w:type="dxa"/>
        </w:trPr>
        <w:tc>
          <w:tcPr>
            <w:tcW w:w="73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616161"/>
                <w:sz w:val="18"/>
                <w:szCs w:val="18"/>
              </w:rPr>
              <w:t xml:space="preserve">Wykonanie dokumentacji projektowo-kosztorysowej (projekt budowlany, projekt wykonawczy, projekt tymczasowej organizacji ruchu, specyfikacje techniczne, przedmiary robót, kosztorysy inwestorskie) oraz uzyskanie niezbędnych decyzji administracyjnych  i  uzgodnień – koniecznych do uzyskania pozwolenia na budowę i realizację robót budowlanych 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7C18" w:rsidRDefault="00017C18">
            <w:pPr>
              <w:spacing w:line="340" w:lineRule="atLeast"/>
              <w:jc w:val="center"/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616161"/>
                <w:sz w:val="18"/>
                <w:szCs w:val="18"/>
              </w:rPr>
              <w:t xml:space="preserve">15-20% </w:t>
            </w:r>
            <w:r>
              <w:rPr>
                <w:rFonts w:ascii="Tahoma" w:hAnsi="Tahoma" w:cs="Tahoma"/>
                <w:color w:val="616161"/>
                <w:sz w:val="18"/>
                <w:szCs w:val="18"/>
              </w:rPr>
              <w:t>kwoty za całość robót budowlanych</w:t>
            </w:r>
            <w:r>
              <w:rPr>
                <w:rFonts w:ascii="Tahoma" w:hAnsi="Tahoma" w:cs="Tahoma"/>
                <w:b/>
                <w:color w:val="616161"/>
                <w:sz w:val="18"/>
                <w:szCs w:val="18"/>
              </w:rPr>
              <w:t xml:space="preserve"> </w:t>
            </w:r>
          </w:p>
        </w:tc>
      </w:tr>
    </w:tbl>
    <w:p w:rsidR="00576DBC" w:rsidRDefault="00576DBC">
      <w:bookmarkStart w:id="0" w:name="_GoBack"/>
      <w:bookmarkEnd w:id="0"/>
    </w:p>
    <w:sectPr w:rsidR="0057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8"/>
    <w:rsid w:val="00017C18"/>
    <w:rsid w:val="0057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D4441-7B99-4F4E-B5CE-3EF493BB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C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Matysiak</dc:creator>
  <cp:keywords/>
  <dc:description/>
  <cp:lastModifiedBy>Tomasz Matysiak</cp:lastModifiedBy>
  <cp:revision>1</cp:revision>
  <dcterms:created xsi:type="dcterms:W3CDTF">2017-03-21T09:23:00Z</dcterms:created>
  <dcterms:modified xsi:type="dcterms:W3CDTF">2017-03-21T09:26:00Z</dcterms:modified>
</cp:coreProperties>
</file>